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1018A" w:rsidP="0011018A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УИД 86RS0001-01-2025-007408-66</w:t>
      </w:r>
    </w:p>
    <w:p w:rsidR="0011018A" w:rsidP="0011018A">
      <w:pPr>
        <w:jc w:val="right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Дело № </w:t>
      </w:r>
      <w:r>
        <w:rPr>
          <w:sz w:val="28"/>
          <w:szCs w:val="28"/>
        </w:rPr>
        <w:t>05-0016/2802/2026</w:t>
      </w:r>
    </w:p>
    <w:p w:rsidR="0011018A" w:rsidP="0011018A">
      <w:pPr>
        <w:jc w:val="center"/>
        <w:rPr>
          <w:rFonts w:eastAsia="Times New Roman CYR"/>
          <w:sz w:val="28"/>
          <w:szCs w:val="28"/>
        </w:rPr>
      </w:pPr>
    </w:p>
    <w:p w:rsidR="0011018A" w:rsidP="0011018A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ПОСТАНОВЛЕНИЕ </w:t>
      </w:r>
    </w:p>
    <w:p w:rsidR="0011018A" w:rsidP="0011018A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 назначении административного наказания</w:t>
      </w:r>
    </w:p>
    <w:p w:rsidR="0011018A" w:rsidP="0011018A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26"/>
        <w:gridCol w:w="4812"/>
      </w:tblGrid>
      <w:tr w:rsidTr="00D26413">
        <w:tblPrEx>
          <w:tblW w:w="0" w:type="auto"/>
          <w:tblLook w:val="04A0"/>
        </w:tblPrEx>
        <w:tc>
          <w:tcPr>
            <w:tcW w:w="5068" w:type="dxa"/>
            <w:hideMark/>
          </w:tcPr>
          <w:p w:rsidR="0011018A" w:rsidP="00D26413">
            <w:pPr>
              <w:spacing w:line="252" w:lineRule="auto"/>
              <w:jc w:val="both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rFonts w:eastAsia="Times New Roman CYR"/>
                <w:sz w:val="28"/>
                <w:szCs w:val="28"/>
                <w:lang w:eastAsia="en-US"/>
              </w:rPr>
              <w:t>г. Ханты-Мансийск</w:t>
            </w:r>
          </w:p>
        </w:tc>
        <w:tc>
          <w:tcPr>
            <w:tcW w:w="5069" w:type="dxa"/>
            <w:hideMark/>
          </w:tcPr>
          <w:p w:rsidR="0011018A" w:rsidP="00D26413">
            <w:pPr>
              <w:spacing w:line="252" w:lineRule="auto"/>
              <w:jc w:val="right"/>
              <w:rPr>
                <w:rFonts w:eastAsia="Times New Roman CYR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16 февраля 2026 года</w:t>
            </w:r>
          </w:p>
        </w:tc>
      </w:tr>
    </w:tbl>
    <w:p w:rsidR="0011018A" w:rsidP="0011018A">
      <w:pPr>
        <w:autoSpaceDE w:val="0"/>
        <w:autoSpaceDN w:val="0"/>
        <w:ind w:firstLine="720"/>
        <w:jc w:val="both"/>
        <w:rPr>
          <w:rFonts w:eastAsia="Malgun Gothic"/>
          <w:sz w:val="28"/>
          <w:szCs w:val="28"/>
        </w:rPr>
      </w:pPr>
    </w:p>
    <w:p w:rsidR="0011018A" w:rsidP="0011018A">
      <w:pPr>
        <w:autoSpaceDE w:val="0"/>
        <w:autoSpaceDN w:val="0"/>
        <w:ind w:firstLine="567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Мировой судья судебного участка №5 Ханты-Мансийского судебного района Ханты-Мансийского автономного округа – Югры Шинкарь М.Х.,</w:t>
      </w:r>
    </w:p>
    <w:p w:rsidR="0011018A" w:rsidP="0011018A">
      <w:pPr>
        <w:autoSpaceDE w:val="0"/>
        <w:autoSpaceDN w:val="0"/>
        <w:ind w:firstLine="567"/>
        <w:jc w:val="both"/>
        <w:rPr>
          <w:rFonts w:eastAsia="Malgun Gothic"/>
          <w:sz w:val="28"/>
          <w:szCs w:val="28"/>
        </w:rPr>
      </w:pPr>
      <w:r>
        <w:rPr>
          <w:rFonts w:eastAsia="Malgun Gothic"/>
          <w:sz w:val="28"/>
          <w:szCs w:val="28"/>
        </w:rPr>
        <w:t>с участием представителя юридического лица, привлекаемого к ответственности – Камалова А.Р.</w:t>
      </w:r>
      <w:r>
        <w:rPr>
          <w:rFonts w:eastAsia="Times New Roman CYR"/>
          <w:sz w:val="28"/>
          <w:szCs w:val="28"/>
        </w:rPr>
        <w:t>,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рассмотрев в открытом судебном заседании в помещении мирового судьи судебного участка № 5 Ханты-Мансийского судебного района дело об административном правонарушении, возбужденное по </w:t>
      </w:r>
      <w:r>
        <w:rPr>
          <w:sz w:val="28"/>
          <w:szCs w:val="28"/>
        </w:rPr>
        <w:t>ч.1 ст. 12.34</w:t>
      </w:r>
      <w:r>
        <w:rPr>
          <w:rFonts w:eastAsia="Times New Roman CYR"/>
          <w:sz w:val="28"/>
          <w:szCs w:val="28"/>
        </w:rPr>
        <w:t xml:space="preserve"> КоАП РФ в отношении юридического лица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sz w:val="28"/>
          <w:szCs w:val="28"/>
        </w:rPr>
        <w:t>Департамента городского хозяйства Администрации города Ханты-Мансийска</w:t>
      </w:r>
      <w:r>
        <w:rPr>
          <w:rFonts w:eastAsia="Times New Roman CYR"/>
          <w:sz w:val="28"/>
          <w:szCs w:val="28"/>
        </w:rPr>
        <w:t xml:space="preserve">, </w:t>
      </w:r>
      <w:r>
        <w:rPr>
          <w:rFonts w:eastAsia="Times New Roman CYR"/>
          <w:sz w:val="28"/>
          <w:szCs w:val="28"/>
        </w:rPr>
        <w:t>**</w:t>
      </w:r>
      <w:r>
        <w:rPr>
          <w:rFonts w:eastAsia="Times New Roman CYR"/>
          <w:sz w:val="28"/>
          <w:szCs w:val="28"/>
        </w:rPr>
        <w:t xml:space="preserve">* </w:t>
      </w:r>
      <w:r>
        <w:rPr>
          <w:rFonts w:eastAsia="Times New Roman CYR"/>
          <w:sz w:val="28"/>
          <w:szCs w:val="28"/>
        </w:rPr>
        <w:t>,</w:t>
      </w:r>
    </w:p>
    <w:p w:rsidR="0011018A" w:rsidP="0011018A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УСТАНОВИЛ: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10.12.2025 в 10 часов 30 минут *** юридическое лицо Департамент городского хозяйства администрации города Ханты-Мансийска, являющийся ответственным предприятием за организацию дорожной деятельности в отношении автомобильных дорог местного значения в границах города Ханты-Мансийска, в нарушение ст.12 Федерального закона от 10 декабря 1995 г. №196-ФЗ «О безопасности дорожного движения», п.5.3.3.1 ГОСТ Р 52766-2007, п.13 «Основных положений по допуску транспортных средств к эксплуатации обязанности должностных лиц по обеспечению безопасности дорожного движения», утвержденных Постановлением Правительства Российской Федерации от 23 октября 1993 года №1090 «Правила дорожного движения Российской Федерации», не выполнило требования по обеспечению безопасности дорожного движения при содержании улиц города Ханты-Мансийска, выявленных в ходе постоянного рейда, а именно: *** В судебном заседании представитель юридического лица вину в совершении правонарушения не признал, просил производство по делу прекратить. Пояснил, что нарушен порядок фиксации износа дорожной разметки. Снежные валы были убраны в кратчайший срок после фиксации.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судебном заседании государственный инспектор отделения надзора Отдела Госавтоинспекции МОМВД России «Ханты-Мансийский*** пояснил, что износ дорожной разметки фиксировался им визуально.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Заслушав участвующих лиц, изучив письменные материалы дела суд пришел к следующему.</w:t>
      </w:r>
      <w:r>
        <w:rPr>
          <w:rFonts w:eastAsia="Times New Roman CYR"/>
          <w:sz w:val="28"/>
          <w:szCs w:val="28"/>
        </w:rPr>
        <w:tab/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Объективную сторону административного правонарушения, предусмотренного ч.1 ст.12.34 КоАП РФ составляют действия (бездействие) юридических и физических лиц, выразившиеся в несоблюдении (нарушении) требований по обеспечению безопасности дорожного движения при ремонте и </w:t>
      </w:r>
      <w:r>
        <w:rPr>
          <w:rFonts w:eastAsia="Times New Roman CYR"/>
          <w:sz w:val="28"/>
          <w:szCs w:val="28"/>
        </w:rPr>
        <w:t>содержании дорог и иных дорожных сооружений либо непринятие мер по своевременному устранению помех в дорожном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 участками угрожает безопасности дорожного движения.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Статьей 4 Федерального закона от 15 ноября 1995 года N 196-ФЗ «О безопасности дорожного движения» установлено, что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Постановлением Совета Министров - Правительства Российской Федерации от 23 октября 1993 года N 1090 «О правилах дорожного движения» утверждены Основные положения по допуску транспортных средств к эксплуатации и обязанностям должностных лиц по обеспечению безопасности дорожного движения (далее - Основные положения).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Согласно требованиям п. 13 «Основных положений по допуску транспортных средств к эксплуатации и обязанности должностных лиц по обеспечению безопасности дорожного» Правил дорожного движения Российской Федерации: должностные и иные лица, ответственные за состояние дорог, железнодорожных переездов и других дорожных сооружений обязаны, содержать дороги, железнодорожные переезды и другие сооружения в безопасном для движения состоянии в соответствии с требованиями стандартов, норм и правил;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 принимать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соответствии со статьей 18 Федерального закона от 08.11.2007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ремонт автомобильных дорог осуществляется в соответствии с требованиями технических регламентов в целях -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В соответствии с частью 1 статьи 12 Федерального закона от 10.12.1995 года № 196-ФЗ «О безопасности дорожного движения» ремонт и содержание дорог на территории Российской Федерации должны обеспечивать безопасность дорожного движения. На основании части 2 статьи 12 вышеуказанного Федерального закона обязанность по обеспечению соответствия состояния дорог при их содержании установленным правилам, стандартам, техническим нормам </w:t>
      </w:r>
      <w:r>
        <w:rPr>
          <w:rFonts w:eastAsia="Times New Roman CYR"/>
          <w:sz w:val="28"/>
          <w:szCs w:val="28"/>
        </w:rPr>
        <w:t>и другим нормативным документам возлагается на лица, осуществляющие содержание автомобильных дорог.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соответствии со статьей 17 Федерального закона от 08.11.2007 года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содержание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Требования к эксплуатационному состоянию, допустимому по условиям обеспечения безопасности дорожного движения определен Государственным стандартом ГОСТ Р 52766-2007 «Элементы обустройства. Общие требования».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Данный стандарт устанавливает перечень и допустимые по условиям обеспечения безопасности движения предельные значения показателей эксплуатационного состояния автомобильных дорог, улиц и дорог городов и других населенных пунктов, а также требования к эксплуатационному состоянию технических средств организации дорожного движения.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Все требования стандарта являются обязательными и направлены на обеспечение безопасности дорожного движения, сохранение жизни, здоровья и имущества населения, охрану окружающей среды.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Несоблюдение требований ГОСТ Р 52766-2007 создает реальную угрозу безопасности дорожного движения, так как данным стандартом установлены предельные значения показателей эксплуатационного состояния автомобильных дорог, снижение которых негативно отражается на дорожно-транспортной обстановке, уменьшает разрешенные скорости движения, а также не обеспечивает безопасное, удобное и комфортабельное движение автотранспортных средств с расчетными скоростями. 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силу статьи 3 Федерального закона от 10.12.1995 года №196-ФЗ «О безопасности дорожного движения» основными принципами обеспечения безопасности дорожного движения являются приоритет жизни и здоровья граждан, участвующих в дорожном движении, над экономическими результатами хозяйственной деятельности; соблюдение интересов граждан, общества и государства при обеспечении безопасности дорожного движения.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Факт совершения вмененного правонарушения подтверждается исследованными судом материалами дела: протоколом об административном правонарушении; решением о проведении рейда, актом о проведении рейда, определениями о возбуждении дела об административном правонарушении; копией постановления мирового судьи; выпиской из ЕГРЮЛ; положением о Департаменте городского хозяйства; решением Думы; выпиской из ЕГРЮЛ; фото-таблицей и диском с видеозапись.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Представленные доказательства получены уполномоченными на то должностными лицами с соблюдением требований закона, являются последовательными, не противоречивыми, допустимыми и согласуются между собой, за исключением протокола об административном правонарушении в </w:t>
      </w:r>
      <w:r>
        <w:rPr>
          <w:rFonts w:eastAsia="Times New Roman CYR"/>
          <w:sz w:val="28"/>
          <w:szCs w:val="28"/>
        </w:rPr>
        <w:t xml:space="preserve">части указания обстоятельств совершения правонарушения, а именно *** </w:t>
      </w:r>
      <w:r>
        <w:rPr>
          <w:rFonts w:eastAsia="Times New Roman CYR"/>
          <w:sz w:val="28"/>
          <w:szCs w:val="28"/>
        </w:rPr>
        <w:t>Как предусмотрено пунктом 15.10 свода правил СП 78.13330.2012 "СНиП 3.06.03-85. Автомобильные дороги". Актуализированная редакция СНиП 3.06.03-85 (утв. приказом Министерства регионального развития РФ от 30 июня 2012 г. N 272), дорожная разметка должна соответствовать требованиям ГОСТ Р 51256. Горизонтальную разметку следует выполнять только на подметенной, промытой и сухой поверхности покрытия при температуре не ниже 15°С - нитрокрасками и не ниже 10°С - при относительной влажности воздуха не более 85% - термопластическими материалами.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При температуре поверхности покрытия ниже 10°С разметку термопластическими материалами допускается выполнять при условии предварительного разогрева покрытия горелками инфракрасного излучения до температуры не ниже 15°С.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Вместе с тем, как предусмотрено пунктом 3.1.1 Межгосударственный стандарт ГОСТ 32952-2014 "Дороги автомобильные общего пользования. Разметка дорожная. Методы контроля" (введен в действие приказом Федерального агентства по техническому регулированию и метрологии от 26 марта 2015 г. N 175-ст), контроль дорожной разметки (далее - разметки) проводят при температуре воздуха не ниже 0°С, относительной влажности воздуха не более 90%, если не установлено иное.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Кроме того, пунктом 3.3.1 указанного Межгосударственного стандарта ГОСТ 32952-2014, указано:</w:t>
      </w:r>
      <w:r>
        <w:t xml:space="preserve"> </w:t>
      </w:r>
      <w:r>
        <w:rPr>
          <w:rFonts w:eastAsia="Times New Roman CYR"/>
          <w:sz w:val="28"/>
          <w:szCs w:val="28"/>
        </w:rPr>
        <w:t>Средства контроля: линейки - по ГОСТ 427; рулетки измерительные металлические - по ГОСТ 7502; курвиметры со следующими характеристиками: предел измерений - не менее 900 м, точность измерения - не более 0,05 м; угломеры с нониусом - по ГОСТ 5378.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Вместе с тем сотрудником Госавтоинспекции контроль отклонения разметки от проектного положения, произведен лишь визуально с фото-фиксацией, не по предусмотренной ГОСТ методике.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Таким образов, указанные обстоятельства износа дорожной разметки, в ходе рассмотрения дела своего подтверждения не нашли, в связи с чем подлежат исключению из числа обстоятельств вменяемого правонарушения.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остальной части протокол об административном правонарушении противоречий с представленными в дело доказательствами не содержит, составлен уполномоченным должностным лицом и соответствует требованиям статьи 28.2 Кодекса Российской Федерации об административных правонарушениях.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В силу положений ст.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Согласно ч.1 ст. 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</w:t>
      </w:r>
      <w:r>
        <w:rPr>
          <w:rFonts w:eastAsia="Times New Roman CYR"/>
          <w:sz w:val="28"/>
          <w:szCs w:val="28"/>
        </w:rPr>
        <w:t xml:space="preserve">Российской Федерации об административных правонарушениях установлена административная ответственность. 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соответствии с ч.2 ст. 2.1 Кодекса Российской Федерации об административных правонарушениях юридическое лицо признается виновным в совершении административного правонарушения, если будет установлено, что у него имелась возможность для соблюдения правил и норм, за нарушение которых настоящим Кодексом или законами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Имеющиеся в материалах дела доказательства, свидетельствуют о том, что у Департамента городского хозяйства администрации города Ханты-Мансийска имелась возможность для соблюдения правил и норм, за нарушение которых ч.1 ст.12.34 КоАП РФ предусмотрена административная ответственность, но организацией не были приняты все зависящие от нее меры по их соблюдению. 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силу пункта 6 статьи 3 Федерального закона от 8 ноября 2007 г. N 257 «Об автомобильных дорогах и о дорожной деятельности в Российской Федерации и «О внесении изменений в отдельные законодательные акты Российской Федерации» дорожной деятельностью признается деятельность по проектированию, строительству, реконструкции, капитальному ремонту, ремонту и содержанию автомобильных дорог.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В соответствии с пунктом 6 статьи 13 данного Федерального закона к полномочиям органов местного самоуправления в области использования автомобильных дорог и осуществления дорожной деятельности относится, в частности, осуществление дорожной деятельности в отношении автомобильных дорог местного значения.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Согласно положению о Департаменте, в его ведение входит организация дорожной деятельности в отношении автомобильных дорог местного значения в границах города Ханты-Мансийска.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Субъектами административного правонарушения, предусмотренного ч. 1 ст. 12.34 КоАП РФ, являются должностные и юридические лица, ответственные за состояние дорог и дорожных сооружений. Данная норма не содержит указаний на исключительные признаки субъекта административного правонарушения, следовательно, таким субъектом может быть любое должностное или юридическое лицо, ответственное за состояние дорог и дорожных сооружений.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Совокупность правовых норм, содержащихся в п. 6 ст. 3 и ч. 3 ст. 15 Федерального закона от 08.11.2007 N257-ФЗ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п. 4 ст. 6 Федерального закона от 10.12.1995 N196-ФЗ «О безопасности дорожного движения», п. 5 ч. 1 ст. 16, ч. 1 ст. 34, ч. 1 ст. 37 Федерального закона от 06.10.2003 N131-Ф3 «Об общих принципах организации местного самоуправления в Российской Федерации» позволяет сделать вывод о том, что соответствующий орган местного самоуправления является лицом, ответственным за содержание дорог местного значения.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Таким образом, вина юридического лица Департамента городского хозяйства администрации города Ханты-Мансийска и его действия по факту несоблюдения требований по обеспечению безопасности дорожного движения при содержании дорог, в случаях, если пользование такими участками угрожает безопасности дорожного движения, нашла свое подтверждение.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Действия юридического лица Департамента городского хозяйства администрации города Ханты-Мансийска мировой судья квалифицирует по   ч. 1 ст. 12.34 КоАП РФ. 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Смягчающих и отягчающих административную ответственность обстоятельств, мировым судьей не установлено.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Определяя вид и меру наказания, суд учитывает характер правонарушения и его последствия.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Обстоятельств, указывающих на малозначительность совершенного юридическим лицом Департаментом городского хозяйства администрации города Ханты-Мансийска административного правонарушения в соответствии со статьей 2.9 КоАП РФ, не усматривается.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При назначении вида и размера административного наказания, мировой судья учитывает личность виновного, отсутствие отягчающих административную ответственность обстоятельств, характер совершенного правонарушения, а также то, что в соответствии со статьей 3.1 КоАП РФ наказание должно иметь своей целью предупреждение совершения новых правонарушений, как самим правонарушителем, так и другими лицами, а также, его финансовое положение, характер и тяжесть совершенного им правонарушения, и приходит к выводу о необходимости при назначении наказания применить положения ч.3.2 ст.4.1 КоАП РФ.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Руководствуясь ст.ст.29.9, 29.10 КоАП РФ, мировой судья</w:t>
      </w:r>
    </w:p>
    <w:p w:rsidR="0011018A" w:rsidP="0011018A">
      <w:pPr>
        <w:jc w:val="center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ПОСТАНОВИЛ: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Признать юридическое лицо </w:t>
      </w:r>
      <w:r>
        <w:rPr>
          <w:sz w:val="28"/>
          <w:szCs w:val="28"/>
        </w:rPr>
        <w:t>Департамент городского хозяйства Администрации города Ханты-Мансийска</w:t>
      </w:r>
      <w:r>
        <w:rPr>
          <w:rFonts w:eastAsia="Times New Roman CYR"/>
          <w:sz w:val="28"/>
          <w:szCs w:val="28"/>
        </w:rPr>
        <w:t xml:space="preserve"> виновным в совершении административного правонарушения, предусмотренного ч.1 ст. 12.34 КоАП РФ, и назначить наказание с применением ч. 3.2 ст.4.1 КоАП РФ в виде административного штрафа в размере </w:t>
      </w:r>
      <w:r>
        <w:rPr>
          <w:sz w:val="28"/>
          <w:szCs w:val="28"/>
        </w:rPr>
        <w:t>сто тысяч</w:t>
      </w:r>
      <w:r>
        <w:rPr>
          <w:rFonts w:eastAsia="Times New Roman CYR"/>
          <w:sz w:val="28"/>
          <w:szCs w:val="28"/>
        </w:rPr>
        <w:t xml:space="preserve"> рублей. 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Административный штраф, согласно ч.1 ст.32.2 КоАП РФ, должен быть уплачен лицом, привлеченным к административной ответственности,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рассрочки, предусмотренных статьей 31.5 КоАП РФ.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Постановление может быть обжаловано в Ханты-Мансийский районный суд через мирового судью, в течение 10 дней со дня получения копии постановления.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  <w:shd w:val="clear" w:color="auto" w:fill="FFFFFF"/>
        </w:rPr>
      </w:pPr>
      <w:r>
        <w:rPr>
          <w:rFonts w:eastAsia="Times New Roman CYR"/>
          <w:sz w:val="28"/>
          <w:szCs w:val="28"/>
          <w:shd w:val="clear" w:color="auto" w:fill="FFFFFF"/>
        </w:rPr>
        <w:t>Административный штраф подлежит уплате на расчетный счет: Получатель: УФК по Ханты-Мансийскому автономному округу - Югре (УМВД России по ХМАО-Югре) ИНН 8601010390 КПП 860101001 р/с 40101810565770510001 банк получателя РКЦ Ханты-Мансийск г. Ханты-Мансийск КБК 18811601121010001140 БИК 047162000 ОКТМО 71871000 УИН 18810486250250008849.</w:t>
      </w:r>
    </w:p>
    <w:p w:rsidR="0011018A" w:rsidP="0011018A">
      <w:pPr>
        <w:ind w:firstLine="567"/>
        <w:jc w:val="both"/>
        <w:rPr>
          <w:rFonts w:eastAsia="Times New Roman CYR"/>
          <w:sz w:val="28"/>
          <w:szCs w:val="28"/>
          <w:shd w:val="clear" w:color="auto" w:fill="FFFFFF"/>
        </w:rPr>
      </w:pPr>
    </w:p>
    <w:p w:rsidR="0011018A" w:rsidP="0011018A">
      <w:pPr>
        <w:jc w:val="both"/>
        <w:rPr>
          <w:rFonts w:eastAsia="Times New Roman CYR"/>
          <w:sz w:val="28"/>
          <w:szCs w:val="28"/>
          <w:shd w:val="clear" w:color="auto" w:fill="FFFFFF"/>
        </w:rPr>
      </w:pPr>
    </w:p>
    <w:p w:rsidR="0011018A" w:rsidP="0011018A">
      <w:pPr>
        <w:jc w:val="both"/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 xml:space="preserve">Мировой судья 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    М.Х. Шинкарь     </w:t>
      </w:r>
    </w:p>
    <w:p w:rsidR="0011018A" w:rsidP="0011018A">
      <w:pPr>
        <w:rPr>
          <w:rFonts w:eastAsia="Times New Roman CYR"/>
          <w:sz w:val="28"/>
          <w:szCs w:val="28"/>
        </w:rPr>
      </w:pPr>
      <w:r>
        <w:rPr>
          <w:rFonts w:eastAsia="Times New Roman CYR"/>
          <w:sz w:val="28"/>
          <w:szCs w:val="28"/>
        </w:rPr>
        <w:t>Копия верна</w:t>
      </w:r>
    </w:p>
    <w:p w:rsidR="0011018A" w:rsidRPr="00144D5A" w:rsidP="0011018A">
      <w:pPr>
        <w:spacing w:after="200" w:line="276" w:lineRule="auto"/>
        <w:rPr>
          <w:sz w:val="28"/>
          <w:szCs w:val="28"/>
        </w:rPr>
      </w:pPr>
      <w:r>
        <w:rPr>
          <w:rFonts w:eastAsia="Times New Roman CYR"/>
          <w:sz w:val="28"/>
          <w:szCs w:val="28"/>
        </w:rPr>
        <w:t>Мировой судья</w:t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</w:r>
      <w:r>
        <w:rPr>
          <w:rFonts w:eastAsia="Times New Roman CYR"/>
          <w:sz w:val="28"/>
          <w:szCs w:val="28"/>
        </w:rPr>
        <w:tab/>
        <w:t xml:space="preserve">           М.Х. Шинкарь</w:t>
      </w:r>
    </w:p>
    <w:p w:rsidR="006E6B9E" w:rsidRPr="0011018A" w:rsidP="0011018A"/>
    <w:sectPr w:rsidSect="00144D5A">
      <w:headerReference w:type="default" r:id="rId4"/>
      <w:pgSz w:w="11906" w:h="16838"/>
      <w:pgMar w:top="1134" w:right="56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4D5A">
    <w:pPr>
      <w:pStyle w:val="Header"/>
      <w:jc w:val="center"/>
    </w:pPr>
    <w:r>
      <w:fldChar w:fldCharType="begin"/>
    </w:r>
    <w:r>
      <w:instrText>P</w:instrText>
    </w:r>
    <w:r>
      <w:instrText>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402F8D" w:rsidRPr="00AC05C6">
    <w:pPr>
      <w:pStyle w:val="Head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C61"/>
    <w:rsid w:val="0011018A"/>
    <w:rsid w:val="00144D5A"/>
    <w:rsid w:val="00226C61"/>
    <w:rsid w:val="00402F8D"/>
    <w:rsid w:val="006E6B9E"/>
    <w:rsid w:val="007E4BD8"/>
    <w:rsid w:val="00AC05C6"/>
    <w:rsid w:val="00D264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05F6BF4-F610-4370-93C6-80E834D0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B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E4BD8"/>
    <w:rPr>
      <w:color w:val="0000FF"/>
      <w:u w:val="single"/>
    </w:rPr>
  </w:style>
  <w:style w:type="paragraph" w:styleId="Header">
    <w:name w:val="header"/>
    <w:basedOn w:val="Normal"/>
    <w:link w:val="a"/>
    <w:uiPriority w:val="99"/>
    <w:rsid w:val="0011018A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01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